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8D" w:rsidRPr="004F0A8D" w:rsidRDefault="004F0A8D" w:rsidP="004F0A8D">
      <w:pPr>
        <w:spacing w:after="0" w:line="480" w:lineRule="auto"/>
        <w:rPr>
          <w:rFonts w:ascii="Times New Roman" w:hAnsi="Times New Roman" w:cs="Times New Roman"/>
          <w:b/>
          <w:sz w:val="24"/>
          <w:szCs w:val="24"/>
        </w:rPr>
      </w:pPr>
    </w:p>
    <w:p w:rsidR="004F0A8D" w:rsidRPr="004F0A8D" w:rsidRDefault="004F0A8D" w:rsidP="004F0A8D">
      <w:pPr>
        <w:spacing w:after="0" w:line="480" w:lineRule="auto"/>
        <w:rPr>
          <w:rFonts w:ascii="Times New Roman" w:hAnsi="Times New Roman" w:cs="Times New Roman"/>
          <w:b/>
          <w:sz w:val="24"/>
          <w:szCs w:val="24"/>
        </w:rPr>
      </w:pPr>
    </w:p>
    <w:p w:rsidR="004F0A8D" w:rsidRPr="004F0A8D" w:rsidRDefault="004F0A8D" w:rsidP="004F0A8D">
      <w:pPr>
        <w:spacing w:after="0" w:line="480" w:lineRule="auto"/>
        <w:rPr>
          <w:rFonts w:ascii="Times New Roman" w:hAnsi="Times New Roman" w:cs="Times New Roman"/>
          <w:b/>
          <w:sz w:val="24"/>
          <w:szCs w:val="24"/>
        </w:rPr>
      </w:pPr>
    </w:p>
    <w:p w:rsidR="004F0A8D" w:rsidRPr="004F0A8D" w:rsidRDefault="004F0A8D" w:rsidP="004F0A8D">
      <w:pPr>
        <w:spacing w:after="0" w:line="480" w:lineRule="auto"/>
        <w:rPr>
          <w:rFonts w:ascii="Times New Roman" w:hAnsi="Times New Roman" w:cs="Times New Roman"/>
          <w:b/>
          <w:sz w:val="24"/>
          <w:szCs w:val="24"/>
        </w:rPr>
      </w:pPr>
    </w:p>
    <w:p w:rsidR="004F0A8D" w:rsidRPr="004F0A8D" w:rsidRDefault="004F0A8D" w:rsidP="004F0A8D">
      <w:pPr>
        <w:spacing w:after="0" w:line="480" w:lineRule="auto"/>
        <w:rPr>
          <w:rFonts w:ascii="Times New Roman" w:hAnsi="Times New Roman" w:cs="Times New Roman"/>
          <w:b/>
          <w:sz w:val="24"/>
          <w:szCs w:val="24"/>
        </w:rPr>
      </w:pPr>
    </w:p>
    <w:p w:rsidR="004F0A8D" w:rsidRPr="004F0A8D" w:rsidRDefault="004F0A8D" w:rsidP="004F0A8D">
      <w:pPr>
        <w:spacing w:after="0" w:line="480" w:lineRule="auto"/>
        <w:jc w:val="center"/>
        <w:rPr>
          <w:rFonts w:ascii="Times New Roman" w:hAnsi="Times New Roman" w:cs="Times New Roman"/>
          <w:sz w:val="24"/>
          <w:szCs w:val="24"/>
        </w:rPr>
      </w:pPr>
      <w:r w:rsidRPr="004F0A8D">
        <w:rPr>
          <w:rFonts w:ascii="Times New Roman" w:hAnsi="Times New Roman" w:cs="Times New Roman"/>
          <w:sz w:val="24"/>
          <w:szCs w:val="24"/>
        </w:rPr>
        <w:t>Carlsberg Brewery Emerging Markets Case Study</w:t>
      </w:r>
    </w:p>
    <w:p w:rsidR="004F0A8D" w:rsidRPr="004F0A8D" w:rsidRDefault="004F0A8D" w:rsidP="004F0A8D">
      <w:pPr>
        <w:spacing w:after="0" w:line="480" w:lineRule="auto"/>
        <w:jc w:val="center"/>
        <w:rPr>
          <w:rFonts w:ascii="Times New Roman" w:hAnsi="Times New Roman" w:cs="Times New Roman"/>
          <w:sz w:val="24"/>
          <w:szCs w:val="24"/>
        </w:rPr>
      </w:pPr>
      <w:r w:rsidRPr="004F0A8D">
        <w:rPr>
          <w:rFonts w:ascii="Times New Roman" w:hAnsi="Times New Roman" w:cs="Times New Roman"/>
          <w:sz w:val="24"/>
          <w:szCs w:val="24"/>
        </w:rPr>
        <w:t>Name of Student</w:t>
      </w:r>
    </w:p>
    <w:p w:rsidR="004F0A8D" w:rsidRPr="004F0A8D" w:rsidRDefault="004F0A8D" w:rsidP="004F0A8D">
      <w:pPr>
        <w:spacing w:after="0" w:line="480" w:lineRule="auto"/>
        <w:jc w:val="center"/>
        <w:rPr>
          <w:rFonts w:ascii="Times New Roman" w:hAnsi="Times New Roman" w:cs="Times New Roman"/>
          <w:sz w:val="24"/>
          <w:szCs w:val="24"/>
        </w:rPr>
      </w:pPr>
      <w:r w:rsidRPr="004F0A8D">
        <w:rPr>
          <w:rFonts w:ascii="Times New Roman" w:hAnsi="Times New Roman" w:cs="Times New Roman"/>
          <w:sz w:val="24"/>
          <w:szCs w:val="24"/>
        </w:rPr>
        <w:t>Name of Institution</w:t>
      </w:r>
    </w:p>
    <w:p w:rsidR="004F0A8D" w:rsidRPr="004F0A8D" w:rsidRDefault="004F0A8D" w:rsidP="004F0A8D">
      <w:pPr>
        <w:spacing w:after="0" w:line="480" w:lineRule="auto"/>
        <w:jc w:val="center"/>
        <w:rPr>
          <w:rFonts w:ascii="Times New Roman" w:hAnsi="Times New Roman" w:cs="Times New Roman"/>
          <w:sz w:val="24"/>
          <w:szCs w:val="24"/>
        </w:rPr>
      </w:pPr>
      <w:r w:rsidRPr="004F0A8D">
        <w:rPr>
          <w:rFonts w:ascii="Times New Roman" w:hAnsi="Times New Roman" w:cs="Times New Roman"/>
          <w:sz w:val="24"/>
          <w:szCs w:val="24"/>
        </w:rPr>
        <w:t>Date</w:t>
      </w:r>
      <w:r w:rsidRPr="004F0A8D">
        <w:rPr>
          <w:rFonts w:ascii="Times New Roman" w:hAnsi="Times New Roman" w:cs="Times New Roman"/>
          <w:b/>
          <w:sz w:val="24"/>
          <w:szCs w:val="24"/>
        </w:rPr>
        <w:br w:type="page"/>
      </w:r>
    </w:p>
    <w:p w:rsidR="006F1BFC"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lastRenderedPageBreak/>
        <w:t>Introduction</w:t>
      </w:r>
    </w:p>
    <w:p w:rsidR="005F1E21" w:rsidRPr="004F0A8D" w:rsidRDefault="000C3AF6"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Carlsberg Group identifies as a beer company with operations focused on selling, marketing</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 xml:space="preserve"> and brewing. </w:t>
      </w:r>
      <w:r w:rsidR="004F0A8D" w:rsidRPr="004F0A8D">
        <w:rPr>
          <w:rFonts w:ascii="Times New Roman" w:hAnsi="Times New Roman" w:cs="Times New Roman"/>
          <w:sz w:val="24"/>
          <w:szCs w:val="24"/>
        </w:rPr>
        <w:t>The g</w:t>
      </w:r>
      <w:r w:rsidR="00470C8E" w:rsidRPr="004F0A8D">
        <w:rPr>
          <w:rFonts w:ascii="Times New Roman" w:hAnsi="Times New Roman" w:cs="Times New Roman"/>
          <w:sz w:val="24"/>
          <w:szCs w:val="24"/>
        </w:rPr>
        <w:t xml:space="preserve">rowth of the company directly influenced its recognition as one of the largest in the brewing industry globally. Early 2000 </w:t>
      </w:r>
      <w:r w:rsidR="00D63E9B" w:rsidRPr="004F0A8D">
        <w:rPr>
          <w:rFonts w:ascii="Times New Roman" w:hAnsi="Times New Roman" w:cs="Times New Roman"/>
          <w:sz w:val="24"/>
          <w:szCs w:val="24"/>
        </w:rPr>
        <w:t>mark</w:t>
      </w:r>
      <w:r w:rsidR="004F0A8D" w:rsidRPr="004F0A8D">
        <w:rPr>
          <w:rFonts w:ascii="Times New Roman" w:hAnsi="Times New Roman" w:cs="Times New Roman"/>
          <w:sz w:val="24"/>
          <w:szCs w:val="24"/>
        </w:rPr>
        <w:t>ed</w:t>
      </w:r>
      <w:r w:rsidR="00470C8E" w:rsidRPr="004F0A8D">
        <w:rPr>
          <w:rFonts w:ascii="Times New Roman" w:hAnsi="Times New Roman" w:cs="Times New Roman"/>
          <w:sz w:val="24"/>
          <w:szCs w:val="24"/>
        </w:rPr>
        <w:t xml:space="preserve"> a contradicting story with </w:t>
      </w:r>
      <w:r w:rsidR="004F0A8D" w:rsidRPr="004F0A8D">
        <w:rPr>
          <w:rFonts w:ascii="Times New Roman" w:hAnsi="Times New Roman" w:cs="Times New Roman"/>
          <w:sz w:val="24"/>
          <w:szCs w:val="24"/>
        </w:rPr>
        <w:t xml:space="preserve">the </w:t>
      </w:r>
      <w:r w:rsidR="00D63E9B" w:rsidRPr="004F0A8D">
        <w:rPr>
          <w:rFonts w:ascii="Times New Roman" w:hAnsi="Times New Roman" w:cs="Times New Roman"/>
          <w:sz w:val="24"/>
          <w:szCs w:val="24"/>
        </w:rPr>
        <w:t xml:space="preserve">implementation of </w:t>
      </w:r>
      <w:r w:rsidR="00470C8E" w:rsidRPr="004F0A8D">
        <w:rPr>
          <w:rFonts w:ascii="Times New Roman" w:hAnsi="Times New Roman" w:cs="Times New Roman"/>
          <w:sz w:val="24"/>
          <w:szCs w:val="24"/>
        </w:rPr>
        <w:t xml:space="preserve">strategies targeted at emerging markets taking too long. </w:t>
      </w:r>
      <w:r w:rsidR="007F108F" w:rsidRPr="004F0A8D">
        <w:rPr>
          <w:rFonts w:ascii="Times New Roman" w:hAnsi="Times New Roman" w:cs="Times New Roman"/>
          <w:sz w:val="24"/>
          <w:szCs w:val="24"/>
        </w:rPr>
        <w:t xml:space="preserve">The route Carlsberg took to establish itself as a leading brewery producer accounts for a partnership with Orkla ASA and acquisition of shares from Baltic Beverages Holding. The emerging markets also posed a significant challenge for the company. </w:t>
      </w:r>
    </w:p>
    <w:p w:rsidR="009235F2"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t>Situational Analysis (SWOT Analysis)</w:t>
      </w:r>
    </w:p>
    <w:p w:rsidR="009235F2" w:rsidRPr="004F0A8D" w:rsidRDefault="00E77C45" w:rsidP="004F0A8D">
      <w:pPr>
        <w:spacing w:after="0" w:line="480" w:lineRule="auto"/>
        <w:rPr>
          <w:rFonts w:ascii="Times New Roman" w:hAnsi="Times New Roman" w:cs="Times New Roman"/>
          <w:b/>
          <w:sz w:val="24"/>
          <w:szCs w:val="24"/>
        </w:rPr>
      </w:pPr>
      <w:r w:rsidRPr="004F0A8D">
        <w:rPr>
          <w:rFonts w:ascii="Times New Roman" w:hAnsi="Times New Roman" w:cs="Times New Roman"/>
          <w:b/>
          <w:sz w:val="24"/>
          <w:szCs w:val="24"/>
        </w:rPr>
        <w:t>Strengths</w:t>
      </w:r>
    </w:p>
    <w:p w:rsidR="009235F2" w:rsidRPr="004F0A8D" w:rsidRDefault="007F108F"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 xml:space="preserve">The position of the company is strong in the Asian and Eastern European markets. Additional emerging markets capitalize on the demands </w:t>
      </w:r>
      <w:r w:rsidR="004F0A8D" w:rsidRPr="004F0A8D">
        <w:rPr>
          <w:rFonts w:ascii="Times New Roman" w:hAnsi="Times New Roman" w:cs="Times New Roman"/>
          <w:sz w:val="24"/>
          <w:szCs w:val="24"/>
        </w:rPr>
        <w:t>of</w:t>
      </w:r>
      <w:r w:rsidRPr="004F0A8D">
        <w:rPr>
          <w:rFonts w:ascii="Times New Roman" w:hAnsi="Times New Roman" w:cs="Times New Roman"/>
          <w:sz w:val="24"/>
          <w:szCs w:val="24"/>
        </w:rPr>
        <w:t xml:space="preserve"> China and Russia. The portfolio of Carlsberg Group as of 2007 records a presence in more than 150 nations, 75 breweries, approximately 33000 employees</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 xml:space="preserve"> and $4.45 billion </w:t>
      </w:r>
      <w:r w:rsidR="00B90CE1" w:rsidRPr="004F0A8D">
        <w:rPr>
          <w:rFonts w:ascii="Times New Roman" w:hAnsi="Times New Roman" w:cs="Times New Roman"/>
          <w:sz w:val="24"/>
          <w:szCs w:val="24"/>
        </w:rPr>
        <w:t xml:space="preserve">in net revenue sourced from sales of beer of </w:t>
      </w:r>
      <w:r w:rsidR="00E77C45" w:rsidRPr="004F0A8D">
        <w:rPr>
          <w:rFonts w:ascii="Times New Roman" w:hAnsi="Times New Roman" w:cs="Times New Roman"/>
          <w:sz w:val="24"/>
          <w:szCs w:val="24"/>
        </w:rPr>
        <w:t xml:space="preserve">115 million hectoliters </w:t>
      </w:r>
      <w:r w:rsidR="00437790" w:rsidRPr="004F0A8D">
        <w:rPr>
          <w:rFonts w:ascii="Times New Roman" w:hAnsi="Times New Roman" w:cs="Times New Roman"/>
          <w:sz w:val="24"/>
          <w:szCs w:val="24"/>
        </w:rPr>
        <w:t>(</w:t>
      </w:r>
      <w:r w:rsidR="00437790" w:rsidRPr="004F0A8D">
        <w:rPr>
          <w:rFonts w:ascii="Times New Roman" w:hAnsi="Times New Roman" w:cs="Times New Roman"/>
          <w:sz w:val="24"/>
          <w:szCs w:val="24"/>
          <w:shd w:val="clear" w:color="auto" w:fill="FFFFFF"/>
        </w:rPr>
        <w:t>Hansen et al., 2010</w:t>
      </w:r>
      <w:r w:rsidR="00437790" w:rsidRPr="004F0A8D">
        <w:rPr>
          <w:rFonts w:ascii="Times New Roman" w:hAnsi="Times New Roman" w:cs="Times New Roman"/>
          <w:sz w:val="24"/>
          <w:szCs w:val="24"/>
        </w:rPr>
        <w:t>).</w:t>
      </w:r>
    </w:p>
    <w:p w:rsidR="00AF1E35" w:rsidRPr="004F0A8D" w:rsidRDefault="00E77C45" w:rsidP="004F0A8D">
      <w:pPr>
        <w:spacing w:after="0" w:line="480" w:lineRule="auto"/>
        <w:rPr>
          <w:rFonts w:ascii="Times New Roman" w:hAnsi="Times New Roman" w:cs="Times New Roman"/>
          <w:b/>
          <w:sz w:val="24"/>
          <w:szCs w:val="24"/>
        </w:rPr>
      </w:pPr>
      <w:r w:rsidRPr="004F0A8D">
        <w:rPr>
          <w:rFonts w:ascii="Times New Roman" w:hAnsi="Times New Roman" w:cs="Times New Roman"/>
          <w:b/>
          <w:sz w:val="24"/>
          <w:szCs w:val="24"/>
        </w:rPr>
        <w:t>Weaknesses</w:t>
      </w:r>
    </w:p>
    <w:p w:rsidR="00B6493A" w:rsidRPr="004F0A8D" w:rsidRDefault="00E77C45"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 xml:space="preserve">Despite the </w:t>
      </w:r>
      <w:r w:rsidR="004F0A8D" w:rsidRPr="004F0A8D">
        <w:rPr>
          <w:rFonts w:ascii="Times New Roman" w:hAnsi="Times New Roman" w:cs="Times New Roman"/>
          <w:sz w:val="24"/>
          <w:szCs w:val="24"/>
        </w:rPr>
        <w:t>reliable</w:t>
      </w:r>
      <w:r w:rsidRPr="004F0A8D">
        <w:rPr>
          <w:rFonts w:ascii="Times New Roman" w:hAnsi="Times New Roman" w:cs="Times New Roman"/>
          <w:sz w:val="24"/>
          <w:szCs w:val="24"/>
        </w:rPr>
        <w:t xml:space="preserve"> brand of Carlsberg, global recognition of the company as a leading brewer was not present</w:t>
      </w:r>
      <w:r w:rsidR="00B6493A" w:rsidRPr="004F0A8D">
        <w:rPr>
          <w:rFonts w:ascii="Times New Roman" w:hAnsi="Times New Roman" w:cs="Times New Roman"/>
          <w:sz w:val="24"/>
          <w:szCs w:val="24"/>
        </w:rPr>
        <w:t xml:space="preserve"> in 2000. The company sought out a partnership with Norwegian Orkla ASA for the brewing activities, which bore Carlsberg breweries </w:t>
      </w:r>
      <w:r w:rsidR="00437790" w:rsidRPr="004F0A8D">
        <w:rPr>
          <w:rFonts w:ascii="Times New Roman" w:hAnsi="Times New Roman" w:cs="Times New Roman"/>
          <w:sz w:val="24"/>
          <w:szCs w:val="24"/>
        </w:rPr>
        <w:t>(</w:t>
      </w:r>
      <w:r w:rsidR="00437790" w:rsidRPr="004F0A8D">
        <w:rPr>
          <w:rFonts w:ascii="Times New Roman" w:hAnsi="Times New Roman" w:cs="Times New Roman"/>
          <w:sz w:val="24"/>
          <w:szCs w:val="24"/>
          <w:shd w:val="clear" w:color="auto" w:fill="FFFFFF"/>
        </w:rPr>
        <w:t>Hansen et al., 2010</w:t>
      </w:r>
      <w:r w:rsidR="00437790" w:rsidRPr="004F0A8D">
        <w:rPr>
          <w:rFonts w:ascii="Times New Roman" w:hAnsi="Times New Roman" w:cs="Times New Roman"/>
          <w:sz w:val="24"/>
          <w:szCs w:val="24"/>
        </w:rPr>
        <w:t>)</w:t>
      </w:r>
      <w:r w:rsidR="00EB08B5" w:rsidRPr="004F0A8D">
        <w:rPr>
          <w:rFonts w:ascii="Times New Roman" w:hAnsi="Times New Roman" w:cs="Times New Roman"/>
          <w:sz w:val="24"/>
          <w:szCs w:val="24"/>
        </w:rPr>
        <w:t>.</w:t>
      </w:r>
      <w:r w:rsidR="00E83B3D" w:rsidRPr="004F0A8D">
        <w:rPr>
          <w:rFonts w:ascii="Times New Roman" w:hAnsi="Times New Roman" w:cs="Times New Roman"/>
          <w:sz w:val="24"/>
          <w:szCs w:val="24"/>
        </w:rPr>
        <w:t xml:space="preserve"> </w:t>
      </w:r>
      <w:r w:rsidR="00B6493A" w:rsidRPr="004F0A8D">
        <w:rPr>
          <w:rFonts w:ascii="Times New Roman" w:hAnsi="Times New Roman" w:cs="Times New Roman"/>
          <w:sz w:val="24"/>
          <w:szCs w:val="24"/>
        </w:rPr>
        <w:t>Carlsberg</w:t>
      </w:r>
      <w:r w:rsidR="004F0A8D" w:rsidRPr="004F0A8D">
        <w:rPr>
          <w:rFonts w:ascii="Times New Roman" w:hAnsi="Times New Roman" w:cs="Times New Roman"/>
          <w:sz w:val="24"/>
          <w:szCs w:val="24"/>
        </w:rPr>
        <w:t>'s</w:t>
      </w:r>
      <w:r w:rsidR="00B6493A" w:rsidRPr="004F0A8D">
        <w:rPr>
          <w:rFonts w:ascii="Times New Roman" w:hAnsi="Times New Roman" w:cs="Times New Roman"/>
          <w:sz w:val="24"/>
          <w:szCs w:val="24"/>
        </w:rPr>
        <w:t xml:space="preserve"> ownership structure heavily contributed to </w:t>
      </w:r>
      <w:r w:rsidR="004F0A8D" w:rsidRPr="004F0A8D">
        <w:rPr>
          <w:rFonts w:ascii="Times New Roman" w:hAnsi="Times New Roman" w:cs="Times New Roman"/>
          <w:sz w:val="24"/>
          <w:szCs w:val="24"/>
        </w:rPr>
        <w:t xml:space="preserve">the </w:t>
      </w:r>
      <w:r w:rsidR="00B6493A" w:rsidRPr="004F0A8D">
        <w:rPr>
          <w:rFonts w:ascii="Times New Roman" w:hAnsi="Times New Roman" w:cs="Times New Roman"/>
          <w:sz w:val="24"/>
          <w:szCs w:val="24"/>
        </w:rPr>
        <w:t xml:space="preserve">strain on financial expansion and development. The </w:t>
      </w:r>
      <w:r w:rsidR="004F0A8D" w:rsidRPr="004F0A8D">
        <w:rPr>
          <w:rFonts w:ascii="Times New Roman" w:hAnsi="Times New Roman" w:cs="Times New Roman"/>
          <w:sz w:val="24"/>
          <w:szCs w:val="24"/>
        </w:rPr>
        <w:t>most significan</w:t>
      </w:r>
      <w:r w:rsidR="00B6493A" w:rsidRPr="004F0A8D">
        <w:rPr>
          <w:rFonts w:ascii="Times New Roman" w:hAnsi="Times New Roman" w:cs="Times New Roman"/>
          <w:sz w:val="24"/>
          <w:szCs w:val="24"/>
        </w:rPr>
        <w:t xml:space="preserve">t shares belong to the Carlsberg Foundation, whose influence blocked partnerships with foreign companies, and impeded quick release of capital. </w:t>
      </w:r>
    </w:p>
    <w:p w:rsidR="00AF1E35" w:rsidRPr="004F0A8D" w:rsidRDefault="00E77C45" w:rsidP="004F0A8D">
      <w:pPr>
        <w:spacing w:after="0" w:line="480" w:lineRule="auto"/>
        <w:rPr>
          <w:rFonts w:ascii="Times New Roman" w:hAnsi="Times New Roman" w:cs="Times New Roman"/>
          <w:b/>
          <w:sz w:val="24"/>
          <w:szCs w:val="24"/>
        </w:rPr>
      </w:pPr>
      <w:r w:rsidRPr="004F0A8D">
        <w:rPr>
          <w:rFonts w:ascii="Times New Roman" w:hAnsi="Times New Roman" w:cs="Times New Roman"/>
          <w:b/>
          <w:sz w:val="24"/>
          <w:szCs w:val="24"/>
        </w:rPr>
        <w:t>Opportunities</w:t>
      </w:r>
    </w:p>
    <w:p w:rsidR="00B6493A" w:rsidRPr="004F0A8D" w:rsidRDefault="00B6493A"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lastRenderedPageBreak/>
        <w:t xml:space="preserve">A critical opportunity for the company takes account implementation of the tactical option for portfolio diversification. The strategy is crucial for the organization to become a first-mover and capitalize on its benefits in the industry. </w:t>
      </w:r>
    </w:p>
    <w:p w:rsidR="00AF1E35" w:rsidRPr="004F0A8D" w:rsidRDefault="00E77C45" w:rsidP="004F0A8D">
      <w:pPr>
        <w:spacing w:after="0" w:line="480" w:lineRule="auto"/>
        <w:rPr>
          <w:rFonts w:ascii="Times New Roman" w:hAnsi="Times New Roman" w:cs="Times New Roman"/>
          <w:b/>
          <w:sz w:val="24"/>
          <w:szCs w:val="24"/>
        </w:rPr>
      </w:pPr>
      <w:r w:rsidRPr="004F0A8D">
        <w:rPr>
          <w:rFonts w:ascii="Times New Roman" w:hAnsi="Times New Roman" w:cs="Times New Roman"/>
          <w:b/>
          <w:sz w:val="24"/>
          <w:szCs w:val="24"/>
        </w:rPr>
        <w:t>Threats</w:t>
      </w:r>
    </w:p>
    <w:p w:rsidR="00AA2757" w:rsidRPr="004F0A8D" w:rsidRDefault="004F0A8D"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The g</w:t>
      </w:r>
      <w:r w:rsidR="00B6493A" w:rsidRPr="004F0A8D">
        <w:rPr>
          <w:rFonts w:ascii="Times New Roman" w:hAnsi="Times New Roman" w:cs="Times New Roman"/>
          <w:sz w:val="24"/>
          <w:szCs w:val="24"/>
        </w:rPr>
        <w:t xml:space="preserve">lobal expansion of the company faced a threat from </w:t>
      </w:r>
      <w:r w:rsidRPr="004F0A8D">
        <w:rPr>
          <w:rFonts w:ascii="Times New Roman" w:hAnsi="Times New Roman" w:cs="Times New Roman"/>
          <w:sz w:val="24"/>
          <w:szCs w:val="24"/>
        </w:rPr>
        <w:t xml:space="preserve">the </w:t>
      </w:r>
      <w:r w:rsidR="00B6493A" w:rsidRPr="004F0A8D">
        <w:rPr>
          <w:rFonts w:ascii="Times New Roman" w:hAnsi="Times New Roman" w:cs="Times New Roman"/>
          <w:sz w:val="24"/>
          <w:szCs w:val="24"/>
        </w:rPr>
        <w:t xml:space="preserve">consolidation of markets around the world. </w:t>
      </w:r>
      <w:r w:rsidRPr="004F0A8D">
        <w:rPr>
          <w:rFonts w:ascii="Times New Roman" w:hAnsi="Times New Roman" w:cs="Times New Roman"/>
          <w:sz w:val="24"/>
          <w:szCs w:val="24"/>
        </w:rPr>
        <w:t>The i</w:t>
      </w:r>
      <w:r w:rsidR="00AA2757" w:rsidRPr="004F0A8D">
        <w:rPr>
          <w:rFonts w:ascii="Times New Roman" w:hAnsi="Times New Roman" w:cs="Times New Roman"/>
          <w:sz w:val="24"/>
          <w:szCs w:val="24"/>
        </w:rPr>
        <w:t>ntense con</w:t>
      </w:r>
      <w:r w:rsidRPr="004F0A8D">
        <w:rPr>
          <w:rFonts w:ascii="Times New Roman" w:hAnsi="Times New Roman" w:cs="Times New Roman"/>
          <w:sz w:val="24"/>
          <w:szCs w:val="24"/>
        </w:rPr>
        <w:t>centr</w:t>
      </w:r>
      <w:r w:rsidR="00AA2757" w:rsidRPr="004F0A8D">
        <w:rPr>
          <w:rFonts w:ascii="Times New Roman" w:hAnsi="Times New Roman" w:cs="Times New Roman"/>
          <w:sz w:val="24"/>
          <w:szCs w:val="24"/>
        </w:rPr>
        <w:t>ation of the brewing industry at the onset of the 21</w:t>
      </w:r>
      <w:r w:rsidR="00AA2757" w:rsidRPr="004F0A8D">
        <w:rPr>
          <w:rFonts w:ascii="Times New Roman" w:hAnsi="Times New Roman" w:cs="Times New Roman"/>
          <w:sz w:val="24"/>
          <w:szCs w:val="24"/>
          <w:vertAlign w:val="superscript"/>
        </w:rPr>
        <w:t>st</w:t>
      </w:r>
      <w:r w:rsidR="00AA2757" w:rsidRPr="004F0A8D">
        <w:rPr>
          <w:rFonts w:ascii="Times New Roman" w:hAnsi="Times New Roman" w:cs="Times New Roman"/>
          <w:sz w:val="24"/>
          <w:szCs w:val="24"/>
        </w:rPr>
        <w:t xml:space="preserve"> century led to many organizations opting out of incorporations. </w:t>
      </w:r>
      <w:r w:rsidRPr="004F0A8D">
        <w:rPr>
          <w:rFonts w:ascii="Times New Roman" w:hAnsi="Times New Roman" w:cs="Times New Roman"/>
          <w:sz w:val="24"/>
          <w:szCs w:val="24"/>
        </w:rPr>
        <w:t xml:space="preserve">The </w:t>
      </w:r>
      <w:r w:rsidR="00AA2757" w:rsidRPr="004F0A8D">
        <w:rPr>
          <w:rFonts w:ascii="Times New Roman" w:hAnsi="Times New Roman" w:cs="Times New Roman"/>
          <w:sz w:val="24"/>
          <w:szCs w:val="24"/>
        </w:rPr>
        <w:t xml:space="preserve">2007 records </w:t>
      </w:r>
      <w:r w:rsidRPr="004F0A8D">
        <w:rPr>
          <w:rFonts w:ascii="Times New Roman" w:hAnsi="Times New Roman" w:cs="Times New Roman"/>
          <w:sz w:val="24"/>
          <w:szCs w:val="24"/>
        </w:rPr>
        <w:t xml:space="preserve">a </w:t>
      </w:r>
      <w:r w:rsidR="00AA2757" w:rsidRPr="004F0A8D">
        <w:rPr>
          <w:rFonts w:ascii="Times New Roman" w:hAnsi="Times New Roman" w:cs="Times New Roman"/>
          <w:sz w:val="24"/>
          <w:szCs w:val="24"/>
        </w:rPr>
        <w:t>high level of control in the industry from the four largest brewery companies</w:t>
      </w:r>
      <w:r w:rsidR="00E77C45" w:rsidRPr="004F0A8D">
        <w:rPr>
          <w:rFonts w:ascii="Times New Roman" w:hAnsi="Times New Roman" w:cs="Times New Roman"/>
          <w:sz w:val="24"/>
          <w:szCs w:val="24"/>
        </w:rPr>
        <w:t xml:space="preserve"> </w:t>
      </w:r>
      <w:r w:rsidR="00437790" w:rsidRPr="004F0A8D">
        <w:rPr>
          <w:rFonts w:ascii="Times New Roman" w:hAnsi="Times New Roman" w:cs="Times New Roman"/>
          <w:sz w:val="24"/>
          <w:szCs w:val="24"/>
        </w:rPr>
        <w:t>(</w:t>
      </w:r>
      <w:r w:rsidR="00437790" w:rsidRPr="004F0A8D">
        <w:rPr>
          <w:rFonts w:ascii="Times New Roman" w:hAnsi="Times New Roman" w:cs="Times New Roman"/>
          <w:sz w:val="24"/>
          <w:szCs w:val="24"/>
          <w:shd w:val="clear" w:color="auto" w:fill="FFFFFF"/>
        </w:rPr>
        <w:t>Hansen et al., 2010</w:t>
      </w:r>
      <w:r w:rsidR="00437790" w:rsidRPr="004F0A8D">
        <w:rPr>
          <w:rFonts w:ascii="Times New Roman" w:hAnsi="Times New Roman" w:cs="Times New Roman"/>
          <w:sz w:val="24"/>
          <w:szCs w:val="24"/>
        </w:rPr>
        <w:t>)</w:t>
      </w:r>
      <w:r w:rsidR="00E77C45" w:rsidRPr="004F0A8D">
        <w:rPr>
          <w:rFonts w:ascii="Times New Roman" w:hAnsi="Times New Roman" w:cs="Times New Roman"/>
          <w:sz w:val="24"/>
          <w:szCs w:val="24"/>
        </w:rPr>
        <w:t xml:space="preserve">. </w:t>
      </w:r>
      <w:r w:rsidR="00AA2757" w:rsidRPr="004F0A8D">
        <w:rPr>
          <w:rFonts w:ascii="Times New Roman" w:hAnsi="Times New Roman" w:cs="Times New Roman"/>
          <w:sz w:val="24"/>
          <w:szCs w:val="24"/>
        </w:rPr>
        <w:t>The more established large companies posed a significant threat to the company</w:t>
      </w:r>
      <w:r w:rsidRPr="004F0A8D">
        <w:rPr>
          <w:rFonts w:ascii="Times New Roman" w:hAnsi="Times New Roman" w:cs="Times New Roman"/>
          <w:sz w:val="24"/>
          <w:szCs w:val="24"/>
        </w:rPr>
        <w:t>'</w:t>
      </w:r>
      <w:r w:rsidR="00AA2757" w:rsidRPr="004F0A8D">
        <w:rPr>
          <w:rFonts w:ascii="Times New Roman" w:hAnsi="Times New Roman" w:cs="Times New Roman"/>
          <w:sz w:val="24"/>
          <w:szCs w:val="24"/>
        </w:rPr>
        <w:t xml:space="preserve">s initiative of penetrating new global markets. </w:t>
      </w:r>
    </w:p>
    <w:p w:rsidR="00F867AC"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t>Strategic Options</w:t>
      </w:r>
    </w:p>
    <w:p w:rsidR="00845509" w:rsidRPr="004F0A8D" w:rsidRDefault="00845509"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As most other companies in the industry leaned towards consolidation, Carlsberg leans towards strategic investment in Asian and Eastern European new market</w:t>
      </w:r>
      <w:r w:rsidR="004F0A8D" w:rsidRPr="004F0A8D">
        <w:rPr>
          <w:rFonts w:ascii="Times New Roman" w:hAnsi="Times New Roman" w:cs="Times New Roman"/>
          <w:sz w:val="24"/>
          <w:szCs w:val="24"/>
        </w:rPr>
        <w:t>s</w:t>
      </w:r>
      <w:r w:rsidRPr="004F0A8D">
        <w:rPr>
          <w:rFonts w:ascii="Times New Roman" w:hAnsi="Times New Roman" w:cs="Times New Roman"/>
          <w:sz w:val="24"/>
          <w:szCs w:val="24"/>
        </w:rPr>
        <w:t>. T</w:t>
      </w:r>
      <w:r w:rsidR="004F0A8D" w:rsidRPr="004F0A8D">
        <w:rPr>
          <w:rFonts w:ascii="Times New Roman" w:hAnsi="Times New Roman" w:cs="Times New Roman"/>
          <w:sz w:val="24"/>
          <w:szCs w:val="24"/>
        </w:rPr>
        <w:t>h</w:t>
      </w:r>
      <w:r w:rsidRPr="004F0A8D">
        <w:rPr>
          <w:rFonts w:ascii="Times New Roman" w:hAnsi="Times New Roman" w:cs="Times New Roman"/>
          <w:sz w:val="24"/>
          <w:szCs w:val="24"/>
        </w:rPr>
        <w:t>e revenues accrued from the Western European markets funded the ventures, targeting to improve it</w:t>
      </w:r>
      <w:r w:rsidR="004F0A8D" w:rsidRPr="004F0A8D">
        <w:rPr>
          <w:rFonts w:ascii="Times New Roman" w:hAnsi="Times New Roman" w:cs="Times New Roman"/>
          <w:sz w:val="24"/>
          <w:szCs w:val="24"/>
        </w:rPr>
        <w:t>s</w:t>
      </w:r>
      <w:r w:rsidRPr="004F0A8D">
        <w:rPr>
          <w:rFonts w:ascii="Times New Roman" w:hAnsi="Times New Roman" w:cs="Times New Roman"/>
          <w:sz w:val="24"/>
          <w:szCs w:val="24"/>
        </w:rPr>
        <w:t xml:space="preserve"> return potential. The strategy influenced shifted focus from establishing a crucial global player in the industry. Another strategic approach was in increasing profit growth while creating value. Innovation and streamlining are tactics ad</w:t>
      </w:r>
      <w:r w:rsidR="004F0A8D" w:rsidRPr="004F0A8D">
        <w:rPr>
          <w:rFonts w:ascii="Times New Roman" w:hAnsi="Times New Roman" w:cs="Times New Roman"/>
          <w:sz w:val="24"/>
          <w:szCs w:val="24"/>
        </w:rPr>
        <w:t>a</w:t>
      </w:r>
      <w:r w:rsidRPr="004F0A8D">
        <w:rPr>
          <w:rFonts w:ascii="Times New Roman" w:hAnsi="Times New Roman" w:cs="Times New Roman"/>
          <w:sz w:val="24"/>
          <w:szCs w:val="24"/>
        </w:rPr>
        <w:t>pted for penetration into the new markets as a form of increasing profit growth</w:t>
      </w:r>
      <w:r w:rsidR="00086632" w:rsidRPr="004F0A8D">
        <w:rPr>
          <w:rFonts w:ascii="Times New Roman" w:hAnsi="Times New Roman" w:cs="Times New Roman"/>
          <w:sz w:val="24"/>
          <w:szCs w:val="24"/>
        </w:rPr>
        <w:t xml:space="preserve"> (</w:t>
      </w:r>
      <w:r w:rsidR="00086632" w:rsidRPr="004F0A8D">
        <w:rPr>
          <w:rFonts w:ascii="Times New Roman" w:hAnsi="Times New Roman" w:cs="Times New Roman"/>
          <w:sz w:val="24"/>
          <w:szCs w:val="24"/>
          <w:shd w:val="clear" w:color="auto" w:fill="FFFFFF"/>
        </w:rPr>
        <w:t>Buckley &amp; Ghauri, 2015)</w:t>
      </w:r>
      <w:r w:rsidRPr="004F0A8D">
        <w:rPr>
          <w:rFonts w:ascii="Times New Roman" w:hAnsi="Times New Roman" w:cs="Times New Roman"/>
          <w:sz w:val="24"/>
          <w:szCs w:val="24"/>
        </w:rPr>
        <w:t>. Carlsberg also opted for higher</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 xml:space="preserve">earning and rapid growth tactics for </w:t>
      </w:r>
      <w:r w:rsidR="004F0A8D" w:rsidRPr="004F0A8D">
        <w:rPr>
          <w:rFonts w:ascii="Times New Roman" w:hAnsi="Times New Roman" w:cs="Times New Roman"/>
          <w:sz w:val="24"/>
          <w:szCs w:val="24"/>
        </w:rPr>
        <w:t>demand</w:t>
      </w:r>
      <w:r w:rsidRPr="004F0A8D">
        <w:rPr>
          <w:rFonts w:ascii="Times New Roman" w:hAnsi="Times New Roman" w:cs="Times New Roman"/>
          <w:sz w:val="24"/>
          <w:szCs w:val="24"/>
        </w:rPr>
        <w:t xml:space="preserve">s from Eastern Europe, while they adopted building up market positions for Asian markets. Capturing new market share for the Russian market and BBH included organic growth </w:t>
      </w:r>
      <w:r w:rsidR="00437790" w:rsidRPr="004F0A8D">
        <w:rPr>
          <w:rFonts w:ascii="Times New Roman" w:hAnsi="Times New Roman" w:cs="Times New Roman"/>
          <w:sz w:val="24"/>
          <w:szCs w:val="24"/>
        </w:rPr>
        <w:t>(</w:t>
      </w:r>
      <w:r w:rsidR="00437790" w:rsidRPr="004F0A8D">
        <w:rPr>
          <w:rFonts w:ascii="Times New Roman" w:hAnsi="Times New Roman" w:cs="Times New Roman"/>
          <w:sz w:val="24"/>
          <w:szCs w:val="24"/>
          <w:shd w:val="clear" w:color="auto" w:fill="FFFFFF"/>
        </w:rPr>
        <w:t>Hansen et al., 2010</w:t>
      </w:r>
      <w:r w:rsidR="00437790" w:rsidRPr="004F0A8D">
        <w:rPr>
          <w:rFonts w:ascii="Times New Roman" w:hAnsi="Times New Roman" w:cs="Times New Roman"/>
          <w:sz w:val="24"/>
          <w:szCs w:val="24"/>
        </w:rPr>
        <w:t xml:space="preserve">). </w:t>
      </w:r>
      <w:r w:rsidR="004D094B" w:rsidRPr="004F0A8D">
        <w:rPr>
          <w:rFonts w:ascii="Times New Roman" w:hAnsi="Times New Roman" w:cs="Times New Roman"/>
          <w:sz w:val="24"/>
          <w:szCs w:val="24"/>
        </w:rPr>
        <w:t xml:space="preserve">Tactics adopted by the organization include </w:t>
      </w:r>
      <w:r w:rsidR="004F0A8D" w:rsidRPr="004F0A8D">
        <w:rPr>
          <w:rFonts w:ascii="Times New Roman" w:hAnsi="Times New Roman" w:cs="Times New Roman"/>
          <w:sz w:val="24"/>
          <w:szCs w:val="24"/>
        </w:rPr>
        <w:t>healthy</w:t>
      </w:r>
      <w:r w:rsidR="004D094B" w:rsidRPr="004F0A8D">
        <w:rPr>
          <w:rFonts w:ascii="Times New Roman" w:hAnsi="Times New Roman" w:cs="Times New Roman"/>
          <w:sz w:val="24"/>
          <w:szCs w:val="24"/>
        </w:rPr>
        <w:t xml:space="preserve"> brand development, infrastructure and logistics, and investments in </w:t>
      </w:r>
      <w:r w:rsidR="004F0A8D" w:rsidRPr="004F0A8D">
        <w:rPr>
          <w:rFonts w:ascii="Times New Roman" w:hAnsi="Times New Roman" w:cs="Times New Roman"/>
          <w:sz w:val="24"/>
          <w:szCs w:val="24"/>
        </w:rPr>
        <w:t xml:space="preserve">the </w:t>
      </w:r>
      <w:r w:rsidR="004D094B" w:rsidRPr="004F0A8D">
        <w:rPr>
          <w:rFonts w:ascii="Times New Roman" w:hAnsi="Times New Roman" w:cs="Times New Roman"/>
          <w:sz w:val="24"/>
          <w:szCs w:val="24"/>
        </w:rPr>
        <w:t xml:space="preserve">production capacity of BBH. </w:t>
      </w:r>
    </w:p>
    <w:p w:rsidR="005B19E9"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lastRenderedPageBreak/>
        <w:t>Intra-Options Analysis</w:t>
      </w:r>
    </w:p>
    <w:p w:rsidR="004D094B" w:rsidRPr="004F0A8D" w:rsidRDefault="004D094B"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 xml:space="preserve">Losing ground in 2000 as a significant player globally prompted a </w:t>
      </w:r>
      <w:r w:rsidR="00BC5EEF" w:rsidRPr="004F0A8D">
        <w:rPr>
          <w:rFonts w:ascii="Times New Roman" w:hAnsi="Times New Roman" w:cs="Times New Roman"/>
          <w:sz w:val="24"/>
          <w:szCs w:val="24"/>
        </w:rPr>
        <w:t xml:space="preserve">partnership between </w:t>
      </w:r>
      <w:r w:rsidRPr="004F0A8D">
        <w:rPr>
          <w:rFonts w:ascii="Times New Roman" w:hAnsi="Times New Roman" w:cs="Times New Roman"/>
          <w:sz w:val="24"/>
          <w:szCs w:val="24"/>
        </w:rPr>
        <w:t>Carlsberg and Orkla ASA. The deal granted Carlsberg 50% ownership of Baltic Beverages Holdings, a crucial element in strengthening the organization</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 xml:space="preserve">s presence in Eastern European markets. </w:t>
      </w:r>
      <w:r w:rsidR="0094118E" w:rsidRPr="004F0A8D">
        <w:rPr>
          <w:rFonts w:ascii="Times New Roman" w:hAnsi="Times New Roman" w:cs="Times New Roman"/>
          <w:sz w:val="24"/>
          <w:szCs w:val="24"/>
        </w:rPr>
        <w:t>Later disagreements dissolved the merger, putting the company in jeopardy</w:t>
      </w:r>
      <w:r w:rsidR="00086632" w:rsidRPr="004F0A8D">
        <w:rPr>
          <w:rFonts w:ascii="Times New Roman" w:hAnsi="Times New Roman" w:cs="Times New Roman"/>
          <w:sz w:val="24"/>
          <w:szCs w:val="24"/>
        </w:rPr>
        <w:t xml:space="preserve"> (</w:t>
      </w:r>
      <w:r w:rsidR="00086632" w:rsidRPr="004F0A8D">
        <w:rPr>
          <w:rFonts w:ascii="Times New Roman" w:hAnsi="Times New Roman" w:cs="Times New Roman"/>
          <w:sz w:val="24"/>
          <w:szCs w:val="24"/>
          <w:shd w:val="clear" w:color="auto" w:fill="FFFFFF"/>
        </w:rPr>
        <w:t>Buckley &amp; Ghauri, 2015)</w:t>
      </w:r>
      <w:r w:rsidR="0094118E" w:rsidRPr="004F0A8D">
        <w:rPr>
          <w:rFonts w:ascii="Times New Roman" w:hAnsi="Times New Roman" w:cs="Times New Roman"/>
          <w:sz w:val="24"/>
          <w:szCs w:val="24"/>
        </w:rPr>
        <w:t>. Buyout by Orkla prompted a change of charter by the organization. The tactic increased freedom by reducing limitations placed on various actions. The aspect was achievable since capital from the foundation was locked after acquiring Orkla</w:t>
      </w:r>
      <w:r w:rsidR="004F0A8D" w:rsidRPr="004F0A8D">
        <w:rPr>
          <w:rFonts w:ascii="Times New Roman" w:hAnsi="Times New Roman" w:cs="Times New Roman"/>
          <w:sz w:val="24"/>
          <w:szCs w:val="24"/>
        </w:rPr>
        <w:t>'</w:t>
      </w:r>
      <w:r w:rsidR="0094118E" w:rsidRPr="004F0A8D">
        <w:rPr>
          <w:rFonts w:ascii="Times New Roman" w:hAnsi="Times New Roman" w:cs="Times New Roman"/>
          <w:sz w:val="24"/>
          <w:szCs w:val="24"/>
        </w:rPr>
        <w:t xml:space="preserve">s shares. Carlsberg opts </w:t>
      </w:r>
      <w:r w:rsidR="004F0A8D" w:rsidRPr="004F0A8D">
        <w:rPr>
          <w:rFonts w:ascii="Times New Roman" w:hAnsi="Times New Roman" w:cs="Times New Roman"/>
          <w:sz w:val="24"/>
          <w:szCs w:val="24"/>
        </w:rPr>
        <w:t xml:space="preserve">for </w:t>
      </w:r>
      <w:r w:rsidR="0094118E" w:rsidRPr="004F0A8D">
        <w:rPr>
          <w:rFonts w:ascii="Times New Roman" w:hAnsi="Times New Roman" w:cs="Times New Roman"/>
          <w:sz w:val="24"/>
          <w:szCs w:val="24"/>
        </w:rPr>
        <w:t>a shift</w:t>
      </w:r>
      <w:r w:rsidR="004F0A8D" w:rsidRPr="004F0A8D">
        <w:rPr>
          <w:rFonts w:ascii="Times New Roman" w:hAnsi="Times New Roman" w:cs="Times New Roman"/>
          <w:sz w:val="24"/>
          <w:szCs w:val="24"/>
        </w:rPr>
        <w:t xml:space="preserve"> in</w:t>
      </w:r>
      <w:r w:rsidR="0094118E" w:rsidRPr="004F0A8D">
        <w:rPr>
          <w:rFonts w:ascii="Times New Roman" w:hAnsi="Times New Roman" w:cs="Times New Roman"/>
          <w:sz w:val="24"/>
          <w:szCs w:val="24"/>
        </w:rPr>
        <w:t xml:space="preserve"> the status quo by focusing on the new markets. The tactic influenced better results through </w:t>
      </w:r>
      <w:r w:rsidR="004F0A8D" w:rsidRPr="004F0A8D">
        <w:rPr>
          <w:rFonts w:ascii="Times New Roman" w:hAnsi="Times New Roman" w:cs="Times New Roman"/>
          <w:sz w:val="24"/>
          <w:szCs w:val="24"/>
        </w:rPr>
        <w:t xml:space="preserve">better </w:t>
      </w:r>
      <w:r w:rsidR="0094118E" w:rsidRPr="004F0A8D">
        <w:rPr>
          <w:rFonts w:ascii="Times New Roman" w:hAnsi="Times New Roman" w:cs="Times New Roman"/>
          <w:sz w:val="24"/>
          <w:szCs w:val="24"/>
        </w:rPr>
        <w:t>management and cons</w:t>
      </w:r>
      <w:r w:rsidR="004F0A8D" w:rsidRPr="004F0A8D">
        <w:rPr>
          <w:rFonts w:ascii="Times New Roman" w:hAnsi="Times New Roman" w:cs="Times New Roman"/>
          <w:sz w:val="24"/>
          <w:szCs w:val="24"/>
        </w:rPr>
        <w:t>iderable</w:t>
      </w:r>
      <w:r w:rsidR="0094118E" w:rsidRPr="004F0A8D">
        <w:rPr>
          <w:rFonts w:ascii="Times New Roman" w:hAnsi="Times New Roman" w:cs="Times New Roman"/>
          <w:sz w:val="24"/>
          <w:szCs w:val="24"/>
        </w:rPr>
        <w:t xml:space="preserve"> gradual growth. Additionally, by 2008, Carlsberg gained recognition as a significant player among the largest breweries globally despite being excluded in 2000 </w:t>
      </w:r>
      <w:r w:rsidR="00437790" w:rsidRPr="004F0A8D">
        <w:rPr>
          <w:rFonts w:ascii="Times New Roman" w:hAnsi="Times New Roman" w:cs="Times New Roman"/>
          <w:sz w:val="24"/>
          <w:szCs w:val="24"/>
        </w:rPr>
        <w:t>(</w:t>
      </w:r>
      <w:r w:rsidR="00437790" w:rsidRPr="004F0A8D">
        <w:rPr>
          <w:rFonts w:ascii="Times New Roman" w:hAnsi="Times New Roman" w:cs="Times New Roman"/>
          <w:sz w:val="24"/>
          <w:szCs w:val="24"/>
          <w:shd w:val="clear" w:color="auto" w:fill="FFFFFF"/>
        </w:rPr>
        <w:t>Hansen et al., 2010</w:t>
      </w:r>
      <w:r w:rsidR="00437790" w:rsidRPr="004F0A8D">
        <w:rPr>
          <w:rFonts w:ascii="Times New Roman" w:hAnsi="Times New Roman" w:cs="Times New Roman"/>
          <w:sz w:val="24"/>
          <w:szCs w:val="24"/>
        </w:rPr>
        <w:t>).</w:t>
      </w:r>
    </w:p>
    <w:p w:rsidR="00A2120A"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t xml:space="preserve">Inter-Option Analysis </w:t>
      </w:r>
    </w:p>
    <w:p w:rsidR="0094118E" w:rsidRPr="004F0A8D" w:rsidRDefault="004F0A8D"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The a</w:t>
      </w:r>
      <w:r w:rsidR="00086632" w:rsidRPr="004F0A8D">
        <w:rPr>
          <w:rFonts w:ascii="Times New Roman" w:hAnsi="Times New Roman" w:cs="Times New Roman"/>
          <w:sz w:val="24"/>
          <w:szCs w:val="24"/>
        </w:rPr>
        <w:t>nalysis will account for impact, effectiveness</w:t>
      </w:r>
      <w:r w:rsidRPr="004F0A8D">
        <w:rPr>
          <w:rFonts w:ascii="Times New Roman" w:hAnsi="Times New Roman" w:cs="Times New Roman"/>
          <w:sz w:val="24"/>
          <w:szCs w:val="24"/>
        </w:rPr>
        <w:t>,</w:t>
      </w:r>
      <w:r w:rsidR="00086632" w:rsidRPr="004F0A8D">
        <w:rPr>
          <w:rFonts w:ascii="Times New Roman" w:hAnsi="Times New Roman" w:cs="Times New Roman"/>
          <w:sz w:val="24"/>
          <w:szCs w:val="24"/>
        </w:rPr>
        <w:t xml:space="preserve"> and relevance brought about by the intra-options. </w:t>
      </w:r>
      <w:r w:rsidR="007E2EAA" w:rsidRPr="004F0A8D">
        <w:rPr>
          <w:rFonts w:ascii="Times New Roman" w:hAnsi="Times New Roman" w:cs="Times New Roman"/>
          <w:sz w:val="24"/>
          <w:szCs w:val="24"/>
        </w:rPr>
        <w:t xml:space="preserve">On a scale of 1-10, the effectiveness and </w:t>
      </w:r>
      <w:r w:rsidRPr="004F0A8D">
        <w:rPr>
          <w:rFonts w:ascii="Times New Roman" w:hAnsi="Times New Roman" w:cs="Times New Roman"/>
          <w:sz w:val="24"/>
          <w:szCs w:val="24"/>
        </w:rPr>
        <w:t>resul</w:t>
      </w:r>
      <w:r w:rsidR="007E2EAA" w:rsidRPr="004F0A8D">
        <w:rPr>
          <w:rFonts w:ascii="Times New Roman" w:hAnsi="Times New Roman" w:cs="Times New Roman"/>
          <w:sz w:val="24"/>
          <w:szCs w:val="24"/>
        </w:rPr>
        <w:t>t of the merger with Orkla I rate as a seven since the targeted influence was not as effective initially. The strategy rates at a six for effectiveness since it brought about significant challenges such as limitations on financial expansion. The tactic of changing the charter serves as the most influential. A change in charter allowed Carlsberg to get out of the merger</w:t>
      </w:r>
      <w:r w:rsidRPr="004F0A8D">
        <w:rPr>
          <w:rFonts w:ascii="Times New Roman" w:hAnsi="Times New Roman" w:cs="Times New Roman"/>
          <w:sz w:val="24"/>
          <w:szCs w:val="24"/>
        </w:rPr>
        <w:t>,</w:t>
      </w:r>
      <w:r w:rsidR="007E2EAA" w:rsidRPr="004F0A8D">
        <w:rPr>
          <w:rFonts w:ascii="Times New Roman" w:hAnsi="Times New Roman" w:cs="Times New Roman"/>
          <w:sz w:val="24"/>
          <w:szCs w:val="24"/>
        </w:rPr>
        <w:t xml:space="preserve"> and Carlsberg accrued more freedom. I would</w:t>
      </w:r>
      <w:r w:rsidRPr="004F0A8D">
        <w:rPr>
          <w:rFonts w:ascii="Times New Roman" w:hAnsi="Times New Roman" w:cs="Times New Roman"/>
          <w:sz w:val="24"/>
          <w:szCs w:val="24"/>
        </w:rPr>
        <w:t>, therefore,</w:t>
      </w:r>
      <w:r w:rsidR="007E2EAA" w:rsidRPr="004F0A8D">
        <w:rPr>
          <w:rFonts w:ascii="Times New Roman" w:hAnsi="Times New Roman" w:cs="Times New Roman"/>
          <w:sz w:val="24"/>
          <w:szCs w:val="24"/>
        </w:rPr>
        <w:t xml:space="preserve"> rate the tactic as an eight on the same scale for all evaluation, that is, impact, effectiveness</w:t>
      </w:r>
      <w:r w:rsidRPr="004F0A8D">
        <w:rPr>
          <w:rFonts w:ascii="Times New Roman" w:hAnsi="Times New Roman" w:cs="Times New Roman"/>
          <w:sz w:val="24"/>
          <w:szCs w:val="24"/>
        </w:rPr>
        <w:t>,</w:t>
      </w:r>
      <w:r w:rsidR="007E2EAA" w:rsidRPr="004F0A8D">
        <w:rPr>
          <w:rFonts w:ascii="Times New Roman" w:hAnsi="Times New Roman" w:cs="Times New Roman"/>
          <w:sz w:val="24"/>
          <w:szCs w:val="24"/>
        </w:rPr>
        <w:t xml:space="preserve"> and relevance. Gradual growth as a result of retaining the status quo rates the tactic as a nine on </w:t>
      </w:r>
      <w:r w:rsidRPr="004F0A8D">
        <w:rPr>
          <w:rFonts w:ascii="Times New Roman" w:hAnsi="Times New Roman" w:cs="Times New Roman"/>
          <w:sz w:val="24"/>
          <w:szCs w:val="24"/>
        </w:rPr>
        <w:t xml:space="preserve">the </w:t>
      </w:r>
      <w:r w:rsidR="007E2EAA" w:rsidRPr="004F0A8D">
        <w:rPr>
          <w:rFonts w:ascii="Times New Roman" w:hAnsi="Times New Roman" w:cs="Times New Roman"/>
          <w:sz w:val="24"/>
          <w:szCs w:val="24"/>
        </w:rPr>
        <w:t xml:space="preserve">evaluation of impact. The strategy does not alter </w:t>
      </w:r>
      <w:r w:rsidRPr="004F0A8D">
        <w:rPr>
          <w:rFonts w:ascii="Times New Roman" w:hAnsi="Times New Roman" w:cs="Times New Roman"/>
          <w:sz w:val="24"/>
          <w:szCs w:val="24"/>
        </w:rPr>
        <w:t xml:space="preserve">the </w:t>
      </w:r>
      <w:r w:rsidR="007E2EAA" w:rsidRPr="004F0A8D">
        <w:rPr>
          <w:rFonts w:ascii="Times New Roman" w:hAnsi="Times New Roman" w:cs="Times New Roman"/>
          <w:sz w:val="24"/>
          <w:szCs w:val="24"/>
        </w:rPr>
        <w:t xml:space="preserve">connection to existing </w:t>
      </w:r>
      <w:r w:rsidR="007E2EAA" w:rsidRPr="004F0A8D">
        <w:rPr>
          <w:rFonts w:ascii="Times New Roman" w:hAnsi="Times New Roman" w:cs="Times New Roman"/>
          <w:sz w:val="24"/>
          <w:szCs w:val="24"/>
        </w:rPr>
        <w:lastRenderedPageBreak/>
        <w:t>markets</w:t>
      </w:r>
      <w:r w:rsidRPr="004F0A8D">
        <w:rPr>
          <w:rFonts w:ascii="Times New Roman" w:hAnsi="Times New Roman" w:cs="Times New Roman"/>
          <w:sz w:val="24"/>
          <w:szCs w:val="24"/>
        </w:rPr>
        <w:t>;</w:t>
      </w:r>
      <w:r w:rsidR="007E2EAA" w:rsidRPr="004F0A8D">
        <w:rPr>
          <w:rFonts w:ascii="Times New Roman" w:hAnsi="Times New Roman" w:cs="Times New Roman"/>
          <w:sz w:val="24"/>
          <w:szCs w:val="24"/>
        </w:rPr>
        <w:t xml:space="preserve"> hence </w:t>
      </w:r>
      <w:r w:rsidRPr="004F0A8D">
        <w:rPr>
          <w:rFonts w:ascii="Times New Roman" w:hAnsi="Times New Roman" w:cs="Times New Roman"/>
          <w:sz w:val="24"/>
          <w:szCs w:val="24"/>
        </w:rPr>
        <w:t xml:space="preserve">the </w:t>
      </w:r>
      <w:r w:rsidR="007E2EAA" w:rsidRPr="004F0A8D">
        <w:rPr>
          <w:rFonts w:ascii="Times New Roman" w:hAnsi="Times New Roman" w:cs="Times New Roman"/>
          <w:sz w:val="24"/>
          <w:szCs w:val="24"/>
        </w:rPr>
        <w:t>analysis of relevance is five. The tactic also led to inclusion in the list of largest breweries yielding a</w:t>
      </w:r>
      <w:r w:rsidRPr="004F0A8D">
        <w:rPr>
          <w:rFonts w:ascii="Times New Roman" w:hAnsi="Times New Roman" w:cs="Times New Roman"/>
          <w:sz w:val="24"/>
          <w:szCs w:val="24"/>
        </w:rPr>
        <w:t>n</w:t>
      </w:r>
      <w:r w:rsidR="007E2EAA" w:rsidRPr="004F0A8D">
        <w:rPr>
          <w:rFonts w:ascii="Times New Roman" w:hAnsi="Times New Roman" w:cs="Times New Roman"/>
          <w:sz w:val="24"/>
          <w:szCs w:val="24"/>
        </w:rPr>
        <w:t xml:space="preserve"> eight rating </w:t>
      </w:r>
      <w:r w:rsidRPr="004F0A8D">
        <w:rPr>
          <w:rFonts w:ascii="Times New Roman" w:hAnsi="Times New Roman" w:cs="Times New Roman"/>
          <w:sz w:val="24"/>
          <w:szCs w:val="24"/>
        </w:rPr>
        <w:t>accounting for</w:t>
      </w:r>
      <w:r w:rsidR="007E2EAA" w:rsidRPr="004F0A8D">
        <w:rPr>
          <w:rFonts w:ascii="Times New Roman" w:hAnsi="Times New Roman" w:cs="Times New Roman"/>
          <w:sz w:val="24"/>
          <w:szCs w:val="24"/>
        </w:rPr>
        <w:t xml:space="preserve"> effectiveness. </w:t>
      </w:r>
    </w:p>
    <w:p w:rsidR="001B3F15"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t>Implementation Plan</w:t>
      </w:r>
    </w:p>
    <w:p w:rsidR="007E2EAA" w:rsidRPr="004F0A8D" w:rsidRDefault="007E2EAA"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 xml:space="preserve">Diversification of portfolio registered as the most </w:t>
      </w:r>
      <w:r w:rsidR="004F0A8D" w:rsidRPr="004F0A8D">
        <w:rPr>
          <w:rFonts w:ascii="Times New Roman" w:hAnsi="Times New Roman" w:cs="Times New Roman"/>
          <w:sz w:val="24"/>
          <w:szCs w:val="24"/>
        </w:rPr>
        <w:t>crucial</w:t>
      </w:r>
      <w:r w:rsidRPr="004F0A8D">
        <w:rPr>
          <w:rFonts w:ascii="Times New Roman" w:hAnsi="Times New Roman" w:cs="Times New Roman"/>
          <w:sz w:val="24"/>
          <w:szCs w:val="24"/>
        </w:rPr>
        <w:t xml:space="preserve"> strategy for the organization. </w:t>
      </w:r>
      <w:r w:rsidR="00BC5EEF" w:rsidRPr="004F0A8D">
        <w:rPr>
          <w:rFonts w:ascii="Times New Roman" w:hAnsi="Times New Roman" w:cs="Times New Roman"/>
          <w:sz w:val="24"/>
          <w:szCs w:val="24"/>
        </w:rPr>
        <w:t>The</w:t>
      </w:r>
      <w:r w:rsidRPr="004F0A8D">
        <w:rPr>
          <w:rFonts w:ascii="Times New Roman" w:hAnsi="Times New Roman" w:cs="Times New Roman"/>
          <w:sz w:val="24"/>
          <w:szCs w:val="24"/>
        </w:rPr>
        <w:t xml:space="preserve"> tactic influences Carlsberg </w:t>
      </w:r>
      <w:r w:rsidR="004F0A8D" w:rsidRPr="004F0A8D">
        <w:rPr>
          <w:rFonts w:ascii="Times New Roman" w:hAnsi="Times New Roman" w:cs="Times New Roman"/>
          <w:sz w:val="24"/>
          <w:szCs w:val="24"/>
        </w:rPr>
        <w:t>to gain</w:t>
      </w:r>
      <w:r w:rsidRPr="004F0A8D">
        <w:rPr>
          <w:rFonts w:ascii="Times New Roman" w:hAnsi="Times New Roman" w:cs="Times New Roman"/>
          <w:sz w:val="24"/>
          <w:szCs w:val="24"/>
        </w:rPr>
        <w:t xml:space="preserve"> a first-mover advantage in </w:t>
      </w:r>
      <w:r w:rsidR="004F0A8D" w:rsidRPr="004F0A8D">
        <w:rPr>
          <w:rFonts w:ascii="Times New Roman" w:hAnsi="Times New Roman" w:cs="Times New Roman"/>
          <w:sz w:val="24"/>
          <w:szCs w:val="24"/>
        </w:rPr>
        <w:t xml:space="preserve">the </w:t>
      </w:r>
      <w:r w:rsidRPr="004F0A8D">
        <w:rPr>
          <w:rFonts w:ascii="Times New Roman" w:hAnsi="Times New Roman" w:cs="Times New Roman"/>
          <w:sz w:val="24"/>
          <w:szCs w:val="24"/>
        </w:rPr>
        <w:t xml:space="preserve">industry. The option also allows the company to incorporate </w:t>
      </w:r>
      <w:r w:rsidR="004F0A8D" w:rsidRPr="004F0A8D">
        <w:rPr>
          <w:rFonts w:ascii="Times New Roman" w:hAnsi="Times New Roman" w:cs="Times New Roman"/>
          <w:sz w:val="24"/>
          <w:szCs w:val="24"/>
        </w:rPr>
        <w:t xml:space="preserve">a </w:t>
      </w:r>
      <w:r w:rsidRPr="004F0A8D">
        <w:rPr>
          <w:rFonts w:ascii="Times New Roman" w:hAnsi="Times New Roman" w:cs="Times New Roman"/>
          <w:sz w:val="24"/>
          <w:szCs w:val="24"/>
        </w:rPr>
        <w:t>blue ocean strategy, which is influential in seeking out low</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cost options and diversification. Incorporation of blue ocean</w:t>
      </w:r>
      <w:r w:rsidR="00F27894" w:rsidRPr="004F0A8D">
        <w:rPr>
          <w:rFonts w:ascii="Times New Roman" w:hAnsi="Times New Roman" w:cs="Times New Roman"/>
          <w:sz w:val="24"/>
          <w:szCs w:val="24"/>
        </w:rPr>
        <w:t xml:space="preserve"> tactics</w:t>
      </w:r>
      <w:r w:rsidRPr="004F0A8D">
        <w:rPr>
          <w:rFonts w:ascii="Times New Roman" w:hAnsi="Times New Roman" w:cs="Times New Roman"/>
          <w:sz w:val="24"/>
          <w:szCs w:val="24"/>
        </w:rPr>
        <w:t xml:space="preserve"> </w:t>
      </w:r>
      <w:r w:rsidR="00F27894" w:rsidRPr="004F0A8D">
        <w:rPr>
          <w:rFonts w:ascii="Times New Roman" w:hAnsi="Times New Roman" w:cs="Times New Roman"/>
          <w:sz w:val="24"/>
          <w:szCs w:val="24"/>
        </w:rPr>
        <w:t xml:space="preserve">could probably yield new demand and new markets </w:t>
      </w:r>
    </w:p>
    <w:p w:rsidR="00564CFD" w:rsidRPr="004F0A8D" w:rsidRDefault="00E77C45" w:rsidP="004F0A8D">
      <w:pPr>
        <w:spacing w:after="0" w:line="480" w:lineRule="auto"/>
        <w:jc w:val="center"/>
        <w:rPr>
          <w:rFonts w:ascii="Times New Roman" w:hAnsi="Times New Roman" w:cs="Times New Roman"/>
          <w:b/>
          <w:sz w:val="24"/>
          <w:szCs w:val="24"/>
        </w:rPr>
      </w:pPr>
      <w:r w:rsidRPr="004F0A8D">
        <w:rPr>
          <w:rFonts w:ascii="Times New Roman" w:hAnsi="Times New Roman" w:cs="Times New Roman"/>
          <w:b/>
          <w:sz w:val="24"/>
          <w:szCs w:val="24"/>
        </w:rPr>
        <w:t>Plan for Assessing the Performance of the Firm Implementation Plan</w:t>
      </w:r>
    </w:p>
    <w:p w:rsidR="00835A17" w:rsidRPr="004F0A8D" w:rsidRDefault="00BC5EEF" w:rsidP="004F0A8D">
      <w:pPr>
        <w:spacing w:after="0" w:line="480" w:lineRule="auto"/>
        <w:ind w:firstLine="720"/>
        <w:rPr>
          <w:rFonts w:ascii="Times New Roman" w:hAnsi="Times New Roman" w:cs="Times New Roman"/>
          <w:sz w:val="24"/>
          <w:szCs w:val="24"/>
        </w:rPr>
      </w:pPr>
      <w:r w:rsidRPr="004F0A8D">
        <w:rPr>
          <w:rFonts w:ascii="Times New Roman" w:hAnsi="Times New Roman" w:cs="Times New Roman"/>
          <w:sz w:val="24"/>
          <w:szCs w:val="24"/>
        </w:rPr>
        <w:t xml:space="preserve">Time and patience are paramount in </w:t>
      </w:r>
      <w:r w:rsidR="004F0A8D" w:rsidRPr="004F0A8D">
        <w:rPr>
          <w:rFonts w:ascii="Times New Roman" w:hAnsi="Times New Roman" w:cs="Times New Roman"/>
          <w:sz w:val="24"/>
          <w:szCs w:val="24"/>
        </w:rPr>
        <w:t xml:space="preserve">the </w:t>
      </w:r>
      <w:r w:rsidRPr="004F0A8D">
        <w:rPr>
          <w:rFonts w:ascii="Times New Roman" w:hAnsi="Times New Roman" w:cs="Times New Roman"/>
          <w:sz w:val="24"/>
          <w:szCs w:val="24"/>
        </w:rPr>
        <w:t>analysis of effectiveness, relevance</w:t>
      </w:r>
      <w:r w:rsidR="004F0A8D" w:rsidRPr="004F0A8D">
        <w:rPr>
          <w:rFonts w:ascii="Times New Roman" w:hAnsi="Times New Roman" w:cs="Times New Roman"/>
          <w:sz w:val="24"/>
          <w:szCs w:val="24"/>
        </w:rPr>
        <w:t>,</w:t>
      </w:r>
      <w:r w:rsidRPr="004F0A8D">
        <w:rPr>
          <w:rFonts w:ascii="Times New Roman" w:hAnsi="Times New Roman" w:cs="Times New Roman"/>
          <w:sz w:val="24"/>
          <w:szCs w:val="24"/>
        </w:rPr>
        <w:t xml:space="preserve"> and impact of the implemented strategy. The medium of assessment for the success or failure would account for </w:t>
      </w:r>
      <w:r w:rsidR="004F0A8D" w:rsidRPr="004F0A8D">
        <w:rPr>
          <w:rFonts w:ascii="Times New Roman" w:hAnsi="Times New Roman" w:cs="Times New Roman"/>
          <w:sz w:val="24"/>
          <w:szCs w:val="24"/>
        </w:rPr>
        <w:t xml:space="preserve">the </w:t>
      </w:r>
      <w:r w:rsidRPr="004F0A8D">
        <w:rPr>
          <w:rFonts w:ascii="Times New Roman" w:hAnsi="Times New Roman" w:cs="Times New Roman"/>
          <w:sz w:val="24"/>
          <w:szCs w:val="24"/>
        </w:rPr>
        <w:t>influence of the tactic to address the regulatory, competitive, and operational challenges facing the organization</w:t>
      </w:r>
      <w:r w:rsidR="00E77C45" w:rsidRPr="004F0A8D">
        <w:rPr>
          <w:rFonts w:ascii="Times New Roman" w:hAnsi="Times New Roman" w:cs="Times New Roman"/>
          <w:sz w:val="24"/>
          <w:szCs w:val="24"/>
        </w:rPr>
        <w:t xml:space="preserve"> (</w:t>
      </w:r>
      <w:r w:rsidR="00E77C45" w:rsidRPr="004F0A8D">
        <w:rPr>
          <w:rFonts w:ascii="Times New Roman" w:hAnsi="Times New Roman" w:cs="Times New Roman"/>
          <w:sz w:val="24"/>
          <w:szCs w:val="24"/>
          <w:shd w:val="clear" w:color="auto" w:fill="FFFFFF"/>
        </w:rPr>
        <w:t>Hansen</w:t>
      </w:r>
      <w:r w:rsidR="00437790" w:rsidRPr="004F0A8D">
        <w:rPr>
          <w:rFonts w:ascii="Times New Roman" w:hAnsi="Times New Roman" w:cs="Times New Roman"/>
          <w:sz w:val="24"/>
          <w:szCs w:val="24"/>
          <w:shd w:val="clear" w:color="auto" w:fill="FFFFFF"/>
        </w:rPr>
        <w:t xml:space="preserve"> et al.</w:t>
      </w:r>
      <w:r w:rsidR="00E77C45" w:rsidRPr="004F0A8D">
        <w:rPr>
          <w:rFonts w:ascii="Times New Roman" w:hAnsi="Times New Roman" w:cs="Times New Roman"/>
          <w:sz w:val="24"/>
          <w:szCs w:val="24"/>
          <w:shd w:val="clear" w:color="auto" w:fill="FFFFFF"/>
        </w:rPr>
        <w:t>, 2010</w:t>
      </w:r>
      <w:r w:rsidR="00E77C45" w:rsidRPr="004F0A8D">
        <w:rPr>
          <w:rFonts w:ascii="Times New Roman" w:hAnsi="Times New Roman" w:cs="Times New Roman"/>
          <w:sz w:val="24"/>
          <w:szCs w:val="24"/>
        </w:rPr>
        <w:t xml:space="preserve">). </w:t>
      </w:r>
    </w:p>
    <w:p w:rsidR="004F0A8D" w:rsidRPr="004F0A8D" w:rsidRDefault="004F0A8D" w:rsidP="004F0A8D">
      <w:pPr>
        <w:spacing w:after="0" w:line="480" w:lineRule="auto"/>
        <w:rPr>
          <w:rFonts w:ascii="Times New Roman" w:hAnsi="Times New Roman" w:cs="Times New Roman"/>
          <w:sz w:val="24"/>
          <w:szCs w:val="24"/>
        </w:rPr>
      </w:pPr>
      <w:r w:rsidRPr="004F0A8D">
        <w:rPr>
          <w:rFonts w:ascii="Times New Roman" w:hAnsi="Times New Roman" w:cs="Times New Roman"/>
          <w:sz w:val="24"/>
          <w:szCs w:val="24"/>
        </w:rPr>
        <w:br w:type="page"/>
      </w:r>
    </w:p>
    <w:p w:rsidR="00AF1E35" w:rsidRPr="004F0A8D" w:rsidRDefault="00E77C45" w:rsidP="004F0A8D">
      <w:pPr>
        <w:spacing w:after="0" w:line="480" w:lineRule="auto"/>
        <w:jc w:val="center"/>
        <w:rPr>
          <w:rFonts w:ascii="Times New Roman" w:hAnsi="Times New Roman" w:cs="Times New Roman"/>
          <w:sz w:val="24"/>
          <w:szCs w:val="24"/>
        </w:rPr>
      </w:pPr>
      <w:r w:rsidRPr="004F0A8D">
        <w:rPr>
          <w:rFonts w:ascii="Times New Roman" w:hAnsi="Times New Roman" w:cs="Times New Roman"/>
          <w:sz w:val="24"/>
          <w:szCs w:val="24"/>
        </w:rPr>
        <w:lastRenderedPageBreak/>
        <w:t>Reference</w:t>
      </w:r>
    </w:p>
    <w:p w:rsidR="00086632" w:rsidRPr="004F0A8D" w:rsidRDefault="00086632" w:rsidP="004F0A8D">
      <w:pPr>
        <w:spacing w:after="0" w:line="480" w:lineRule="auto"/>
        <w:ind w:left="720" w:hanging="720"/>
        <w:rPr>
          <w:rFonts w:ascii="Times New Roman" w:hAnsi="Times New Roman" w:cs="Times New Roman"/>
          <w:sz w:val="24"/>
          <w:szCs w:val="24"/>
          <w:shd w:val="clear" w:color="auto" w:fill="FFFFFF"/>
        </w:rPr>
      </w:pPr>
      <w:r w:rsidRPr="004F0A8D">
        <w:rPr>
          <w:rFonts w:ascii="Times New Roman" w:hAnsi="Times New Roman" w:cs="Times New Roman"/>
          <w:sz w:val="24"/>
          <w:szCs w:val="24"/>
          <w:shd w:val="clear" w:color="auto" w:fill="FFFFFF"/>
        </w:rPr>
        <w:t xml:space="preserve">Buckley, P. J., &amp; Ghauri, P. (2015). </w:t>
      </w:r>
      <w:r w:rsidR="004F0A8D" w:rsidRPr="004F0A8D">
        <w:rPr>
          <w:rFonts w:ascii="Times New Roman" w:hAnsi="Times New Roman" w:cs="Times New Roman"/>
          <w:sz w:val="24"/>
          <w:szCs w:val="24"/>
          <w:shd w:val="clear" w:color="auto" w:fill="FFFFFF"/>
        </w:rPr>
        <w:t>A c</w:t>
      </w:r>
      <w:r w:rsidRPr="004F0A8D">
        <w:rPr>
          <w:rFonts w:ascii="Times New Roman" w:hAnsi="Times New Roman" w:cs="Times New Roman"/>
          <w:sz w:val="24"/>
          <w:szCs w:val="24"/>
          <w:shd w:val="clear" w:color="auto" w:fill="FFFFFF"/>
        </w:rPr>
        <w:t>ase study I: Internationalization of brewery companies: the case of Carlsberg. In </w:t>
      </w:r>
      <w:r w:rsidRPr="004F0A8D">
        <w:rPr>
          <w:rFonts w:ascii="Times New Roman" w:hAnsi="Times New Roman" w:cs="Times New Roman"/>
          <w:i/>
          <w:iCs/>
          <w:sz w:val="24"/>
          <w:szCs w:val="24"/>
          <w:shd w:val="clear" w:color="auto" w:fill="FFFFFF"/>
        </w:rPr>
        <w:t>International Business Strategy</w:t>
      </w:r>
      <w:r w:rsidRPr="004F0A8D">
        <w:rPr>
          <w:rFonts w:ascii="Times New Roman" w:hAnsi="Times New Roman" w:cs="Times New Roman"/>
          <w:sz w:val="24"/>
          <w:szCs w:val="24"/>
          <w:shd w:val="clear" w:color="auto" w:fill="FFFFFF"/>
        </w:rPr>
        <w:t> (pp. 122-128). Routledge.</w:t>
      </w:r>
    </w:p>
    <w:p w:rsidR="009235F2" w:rsidRPr="004F0A8D" w:rsidRDefault="00E77C45" w:rsidP="004F0A8D">
      <w:pPr>
        <w:spacing w:after="0" w:line="480" w:lineRule="auto"/>
        <w:ind w:left="720" w:hanging="720"/>
        <w:rPr>
          <w:rFonts w:ascii="Times New Roman" w:hAnsi="Times New Roman" w:cs="Times New Roman"/>
          <w:sz w:val="24"/>
          <w:szCs w:val="24"/>
        </w:rPr>
      </w:pPr>
      <w:r w:rsidRPr="004F0A8D">
        <w:rPr>
          <w:rFonts w:ascii="Times New Roman" w:hAnsi="Times New Roman" w:cs="Times New Roman"/>
          <w:sz w:val="24"/>
          <w:szCs w:val="24"/>
          <w:shd w:val="clear" w:color="auto" w:fill="FFFFFF"/>
        </w:rPr>
        <w:t>Hansen, M. W., Larsen, M. M., Pedersen, T., Petersen, B., &amp; Wad, P. (2010). </w:t>
      </w:r>
      <w:r w:rsidRPr="004F0A8D">
        <w:rPr>
          <w:rFonts w:ascii="Times New Roman" w:hAnsi="Times New Roman" w:cs="Times New Roman"/>
          <w:i/>
          <w:iCs/>
          <w:sz w:val="24"/>
          <w:szCs w:val="24"/>
          <w:shd w:val="clear" w:color="auto" w:fill="FFFFFF"/>
        </w:rPr>
        <w:t>Strategies in emerging markets: A case book on Danish multinational corporations in China and India</w:t>
      </w:r>
      <w:r w:rsidRPr="004F0A8D">
        <w:rPr>
          <w:rFonts w:ascii="Times New Roman" w:hAnsi="Times New Roman" w:cs="Times New Roman"/>
          <w:sz w:val="24"/>
          <w:szCs w:val="24"/>
          <w:shd w:val="clear" w:color="auto" w:fill="FFFFFF"/>
        </w:rPr>
        <w:t xml:space="preserve">. Copenhagen Business School Press DK. </w:t>
      </w:r>
    </w:p>
    <w:sectPr w:rsidR="009235F2" w:rsidRPr="004F0A8D" w:rsidSect="003D541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2F9" w:rsidRDefault="00CE22F9" w:rsidP="005D68AF">
      <w:pPr>
        <w:spacing w:after="0" w:line="240" w:lineRule="auto"/>
      </w:pPr>
      <w:r>
        <w:separator/>
      </w:r>
    </w:p>
  </w:endnote>
  <w:endnote w:type="continuationSeparator" w:id="1">
    <w:p w:rsidR="00CE22F9" w:rsidRDefault="00CE22F9" w:rsidP="005D68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2F9" w:rsidRDefault="00CE22F9" w:rsidP="005D68AF">
      <w:pPr>
        <w:spacing w:after="0" w:line="240" w:lineRule="auto"/>
      </w:pPr>
      <w:r>
        <w:separator/>
      </w:r>
    </w:p>
  </w:footnote>
  <w:footnote w:type="continuationSeparator" w:id="1">
    <w:p w:rsidR="00CE22F9" w:rsidRDefault="00CE22F9" w:rsidP="005D68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8D" w:rsidRPr="004F0A8D" w:rsidRDefault="004F0A8D">
    <w:pPr>
      <w:pStyle w:val="Header"/>
      <w:jc w:val="right"/>
      <w:rPr>
        <w:rFonts w:ascii="Times New Roman" w:hAnsi="Times New Roman" w:cs="Times New Roman"/>
        <w:sz w:val="24"/>
      </w:rPr>
    </w:pPr>
    <w:r w:rsidRPr="004F0A8D">
      <w:rPr>
        <w:rFonts w:ascii="Times New Roman" w:hAnsi="Times New Roman" w:cs="Times New Roman"/>
        <w:sz w:val="24"/>
      </w:rPr>
      <w:t>CARLSBERG BREWERY EMERGING MARKETS CASE STUDY</w:t>
    </w:r>
    <w:r w:rsidRPr="004F0A8D">
      <w:rPr>
        <w:rFonts w:ascii="Times New Roman" w:hAnsi="Times New Roman" w:cs="Times New Roman"/>
        <w:sz w:val="24"/>
      </w:rPr>
      <w:tab/>
    </w:r>
    <w:sdt>
      <w:sdtPr>
        <w:rPr>
          <w:rFonts w:ascii="Times New Roman" w:hAnsi="Times New Roman" w:cs="Times New Roman"/>
          <w:sz w:val="24"/>
        </w:rPr>
        <w:id w:val="911017172"/>
        <w:docPartObj>
          <w:docPartGallery w:val="Page Numbers (Top of Page)"/>
          <w:docPartUnique/>
        </w:docPartObj>
      </w:sdtPr>
      <w:sdtContent>
        <w:r w:rsidRPr="004F0A8D">
          <w:rPr>
            <w:rFonts w:ascii="Times New Roman" w:hAnsi="Times New Roman" w:cs="Times New Roman"/>
            <w:sz w:val="24"/>
          </w:rPr>
          <w:fldChar w:fldCharType="begin"/>
        </w:r>
        <w:r w:rsidRPr="004F0A8D">
          <w:rPr>
            <w:rFonts w:ascii="Times New Roman" w:hAnsi="Times New Roman" w:cs="Times New Roman"/>
            <w:sz w:val="24"/>
          </w:rPr>
          <w:instrText xml:space="preserve"> PAGE   \* MERGEFORMAT </w:instrText>
        </w:r>
        <w:r w:rsidRPr="004F0A8D">
          <w:rPr>
            <w:rFonts w:ascii="Times New Roman" w:hAnsi="Times New Roman" w:cs="Times New Roman"/>
            <w:sz w:val="24"/>
          </w:rPr>
          <w:fldChar w:fldCharType="separate"/>
        </w:r>
        <w:r>
          <w:rPr>
            <w:rFonts w:ascii="Times New Roman" w:hAnsi="Times New Roman" w:cs="Times New Roman"/>
            <w:noProof/>
            <w:sz w:val="24"/>
          </w:rPr>
          <w:t>2</w:t>
        </w:r>
        <w:r w:rsidRPr="004F0A8D">
          <w:rPr>
            <w:rFonts w:ascii="Times New Roman" w:hAnsi="Times New Roman" w:cs="Times New Roman"/>
            <w:sz w:val="24"/>
          </w:rPr>
          <w:fldChar w:fldCharType="end"/>
        </w:r>
      </w:sdtContent>
    </w:sdt>
  </w:p>
  <w:p w:rsidR="004F0A8D" w:rsidRPr="004F0A8D" w:rsidRDefault="004F0A8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8D" w:rsidRPr="004F0A8D" w:rsidRDefault="004F0A8D">
    <w:pPr>
      <w:pStyle w:val="Header"/>
      <w:jc w:val="right"/>
      <w:rPr>
        <w:rFonts w:ascii="Times New Roman" w:hAnsi="Times New Roman" w:cs="Times New Roman"/>
        <w:sz w:val="24"/>
      </w:rPr>
    </w:pPr>
    <w:r w:rsidRPr="004F0A8D">
      <w:rPr>
        <w:rFonts w:ascii="Times New Roman" w:hAnsi="Times New Roman" w:cs="Times New Roman"/>
        <w:sz w:val="24"/>
      </w:rPr>
      <w:t xml:space="preserve">Running Head: CARLSBERG BREWERY EMERGING MARKETS CASE STUDY </w:t>
    </w:r>
    <w:r w:rsidRPr="004F0A8D">
      <w:rPr>
        <w:rFonts w:ascii="Times New Roman" w:hAnsi="Times New Roman" w:cs="Times New Roman"/>
        <w:sz w:val="24"/>
      </w:rPr>
      <w:tab/>
    </w:r>
    <w:sdt>
      <w:sdtPr>
        <w:rPr>
          <w:rFonts w:ascii="Times New Roman" w:hAnsi="Times New Roman" w:cs="Times New Roman"/>
          <w:sz w:val="24"/>
        </w:rPr>
        <w:id w:val="911017226"/>
        <w:docPartObj>
          <w:docPartGallery w:val="Page Numbers (Top of Page)"/>
          <w:docPartUnique/>
        </w:docPartObj>
      </w:sdtPr>
      <w:sdtContent>
        <w:r w:rsidRPr="004F0A8D">
          <w:rPr>
            <w:rFonts w:ascii="Times New Roman" w:hAnsi="Times New Roman" w:cs="Times New Roman"/>
            <w:sz w:val="24"/>
          </w:rPr>
          <w:fldChar w:fldCharType="begin"/>
        </w:r>
        <w:r w:rsidRPr="004F0A8D">
          <w:rPr>
            <w:rFonts w:ascii="Times New Roman" w:hAnsi="Times New Roman" w:cs="Times New Roman"/>
            <w:sz w:val="24"/>
          </w:rPr>
          <w:instrText xml:space="preserve"> PAGE   \* MERGEFORMAT </w:instrText>
        </w:r>
        <w:r w:rsidRPr="004F0A8D">
          <w:rPr>
            <w:rFonts w:ascii="Times New Roman" w:hAnsi="Times New Roman" w:cs="Times New Roman"/>
            <w:sz w:val="24"/>
          </w:rPr>
          <w:fldChar w:fldCharType="separate"/>
        </w:r>
        <w:r>
          <w:rPr>
            <w:rFonts w:ascii="Times New Roman" w:hAnsi="Times New Roman" w:cs="Times New Roman"/>
            <w:noProof/>
            <w:sz w:val="24"/>
          </w:rPr>
          <w:t>1</w:t>
        </w:r>
        <w:r w:rsidRPr="004F0A8D">
          <w:rPr>
            <w:rFonts w:ascii="Times New Roman" w:hAnsi="Times New Roman" w:cs="Times New Roman"/>
            <w:sz w:val="24"/>
          </w:rPr>
          <w:fldChar w:fldCharType="end"/>
        </w:r>
      </w:sdtContent>
    </w:sdt>
  </w:p>
  <w:p w:rsidR="004F0A8D" w:rsidRPr="004F0A8D" w:rsidRDefault="004F0A8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xNDE0tDAwMTKyMDZR0lEKTi0uzszPAykwrAUAmvYhrCwAAAA="/>
  </w:docVars>
  <w:rsids>
    <w:rsidRoot w:val="009D6740"/>
    <w:rsid w:val="000172C4"/>
    <w:rsid w:val="000263D3"/>
    <w:rsid w:val="000863EF"/>
    <w:rsid w:val="00086632"/>
    <w:rsid w:val="00097DCE"/>
    <w:rsid w:val="000A14A6"/>
    <w:rsid w:val="000C3AF6"/>
    <w:rsid w:val="00130A7C"/>
    <w:rsid w:val="001B3F15"/>
    <w:rsid w:val="002354F4"/>
    <w:rsid w:val="00244979"/>
    <w:rsid w:val="00293D47"/>
    <w:rsid w:val="002B0EE6"/>
    <w:rsid w:val="002B6A29"/>
    <w:rsid w:val="00306853"/>
    <w:rsid w:val="00317E30"/>
    <w:rsid w:val="00323892"/>
    <w:rsid w:val="00346DEE"/>
    <w:rsid w:val="003D5413"/>
    <w:rsid w:val="003E1F0B"/>
    <w:rsid w:val="003F31A5"/>
    <w:rsid w:val="00400F51"/>
    <w:rsid w:val="00407EC2"/>
    <w:rsid w:val="0042281E"/>
    <w:rsid w:val="00437790"/>
    <w:rsid w:val="004536E9"/>
    <w:rsid w:val="00470C8E"/>
    <w:rsid w:val="004D094B"/>
    <w:rsid w:val="004E6FD2"/>
    <w:rsid w:val="004F0A8D"/>
    <w:rsid w:val="00564CFD"/>
    <w:rsid w:val="005B19E9"/>
    <w:rsid w:val="005D68AF"/>
    <w:rsid w:val="005F1E21"/>
    <w:rsid w:val="006006AF"/>
    <w:rsid w:val="006158AE"/>
    <w:rsid w:val="00626FC7"/>
    <w:rsid w:val="00683FD7"/>
    <w:rsid w:val="006904D9"/>
    <w:rsid w:val="006D77E7"/>
    <w:rsid w:val="006F1BFC"/>
    <w:rsid w:val="00700851"/>
    <w:rsid w:val="00720772"/>
    <w:rsid w:val="00772524"/>
    <w:rsid w:val="007A1C66"/>
    <w:rsid w:val="007A5E8A"/>
    <w:rsid w:val="007A6373"/>
    <w:rsid w:val="007E2EAA"/>
    <w:rsid w:val="007F108F"/>
    <w:rsid w:val="00826213"/>
    <w:rsid w:val="00835A17"/>
    <w:rsid w:val="00845509"/>
    <w:rsid w:val="00866B91"/>
    <w:rsid w:val="00903C7A"/>
    <w:rsid w:val="00912A58"/>
    <w:rsid w:val="00914D5C"/>
    <w:rsid w:val="009235F2"/>
    <w:rsid w:val="00933EE2"/>
    <w:rsid w:val="0094118E"/>
    <w:rsid w:val="009B5DBB"/>
    <w:rsid w:val="009D1EC7"/>
    <w:rsid w:val="009D6740"/>
    <w:rsid w:val="00A11FFA"/>
    <w:rsid w:val="00A2120A"/>
    <w:rsid w:val="00A31A37"/>
    <w:rsid w:val="00A40DA7"/>
    <w:rsid w:val="00A90D60"/>
    <w:rsid w:val="00AA2757"/>
    <w:rsid w:val="00AF1E35"/>
    <w:rsid w:val="00B6493A"/>
    <w:rsid w:val="00B67B56"/>
    <w:rsid w:val="00B70251"/>
    <w:rsid w:val="00B90CE1"/>
    <w:rsid w:val="00BC5EEF"/>
    <w:rsid w:val="00BD5D4B"/>
    <w:rsid w:val="00C63A53"/>
    <w:rsid w:val="00C92099"/>
    <w:rsid w:val="00CE0928"/>
    <w:rsid w:val="00CE22F9"/>
    <w:rsid w:val="00CE2CE6"/>
    <w:rsid w:val="00D52FBA"/>
    <w:rsid w:val="00D63772"/>
    <w:rsid w:val="00D63E9B"/>
    <w:rsid w:val="00D81C1E"/>
    <w:rsid w:val="00DD20A2"/>
    <w:rsid w:val="00E609A4"/>
    <w:rsid w:val="00E7384E"/>
    <w:rsid w:val="00E77C45"/>
    <w:rsid w:val="00E83B3D"/>
    <w:rsid w:val="00E91475"/>
    <w:rsid w:val="00EB08B5"/>
    <w:rsid w:val="00EC368D"/>
    <w:rsid w:val="00EF1CD6"/>
    <w:rsid w:val="00F20208"/>
    <w:rsid w:val="00F27894"/>
    <w:rsid w:val="00F867AC"/>
    <w:rsid w:val="00FA2CA4"/>
    <w:rsid w:val="00FE32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413"/>
  </w:style>
  <w:style w:type="paragraph" w:styleId="Footer">
    <w:name w:val="footer"/>
    <w:basedOn w:val="Normal"/>
    <w:link w:val="FooterChar"/>
    <w:uiPriority w:val="99"/>
    <w:unhideWhenUsed/>
    <w:rsid w:val="003D5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413"/>
  </w:style>
  <w:style w:type="paragraph" w:styleId="BalloonText">
    <w:name w:val="Balloon Text"/>
    <w:basedOn w:val="Normal"/>
    <w:link w:val="BalloonTextChar"/>
    <w:uiPriority w:val="99"/>
    <w:semiHidden/>
    <w:unhideWhenUsed/>
    <w:rsid w:val="003D5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4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ADMIN</cp:lastModifiedBy>
  <cp:revision>11</cp:revision>
  <dcterms:created xsi:type="dcterms:W3CDTF">2020-04-16T07:12:00Z</dcterms:created>
  <dcterms:modified xsi:type="dcterms:W3CDTF">2020-04-16T09:34:00Z</dcterms:modified>
</cp:coreProperties>
</file>